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3D" w:rsidRPr="002D0B3D" w:rsidRDefault="002A00EF" w:rsidP="002A00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 про РТСУ</w:t>
      </w:r>
      <w:bookmarkStart w:id="0" w:name="_GoBack"/>
      <w:bookmarkEnd w:id="0"/>
    </w:p>
    <w:p w:rsidR="002D0B3D" w:rsidRDefault="002D0B3D" w:rsidP="002D0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           Новые подходы к формированию содержания образования выразились в демократизации и расширении прав и ответственности учебных заведений и обучающихся, в определении содержания программ, в преемственности содержания профессионального образования на всех его этапах, начиная с начального базового и завершая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последипломным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 xml:space="preserve">  вузовским. Это выражается в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стандартах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 xml:space="preserve">, которые обновили содержание профессиональной подготовки специалистов. В межгосударственном образовательном учреждении высшего образования «Российско-Таджикский (Славянский) университет» проводится обучение по  16 направлениям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специалитету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(Перевод и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) и 11 направлениям магистратуры. 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ФГОС ВО 3+, </w:t>
      </w:r>
      <w:r w:rsidRPr="006369E9">
        <w:rPr>
          <w:rFonts w:ascii="Times New Roman" w:hAnsi="Times New Roman" w:cs="Times New Roman"/>
          <w:iCs/>
          <w:sz w:val="28"/>
          <w:szCs w:val="28"/>
        </w:rPr>
        <w:t xml:space="preserve">приведенных в соответствие с требованиями Федерального закона об образовании в Российской Федерации от 29.12.2012 № 273-ФЗ, </w:t>
      </w:r>
      <w:r w:rsidRPr="006369E9">
        <w:rPr>
          <w:rFonts w:ascii="Times New Roman" w:hAnsi="Times New Roman" w:cs="Times New Roman"/>
          <w:sz w:val="28"/>
          <w:szCs w:val="28"/>
        </w:rPr>
        <w:t>регламентирующих реализацию образовательных программ высшего образования, а также</w:t>
      </w:r>
      <w:r w:rsidRPr="006369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69E9">
        <w:rPr>
          <w:rFonts w:ascii="Times New Roman" w:hAnsi="Times New Roman" w:cs="Times New Roman"/>
          <w:sz w:val="28"/>
          <w:szCs w:val="28"/>
        </w:rPr>
        <w:t>на основании приказа ректора МОУ ВПО РТСУ от 19 декабря 2014 года № 138 о «Модернизации основных компонентов  образовательной программы вуза  на основе новой редакции ФГОС третьего поколения (ФГОС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 xml:space="preserve"> 3+)» в 2015-2016 учебном году был осуществлен перевод на обучение согласно стандартам ФГОС 3+ (посредством утверждения приказов ректора) практически всех направлений, кроме  направления Юриспруденция (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и магистратура) и Перевод и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369E9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>).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       Важным  критерием работы педагогического коллектива является качества работы  со студентами, их  успеваемость. Можно перечислить такие составляющие успеваемости как базовая подготовка, методика преподавания, </w:t>
      </w:r>
      <w:r w:rsidRPr="006369E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 технологии, использование библиотечного фонда, посещаемость, дисциплина, соблюдения правил внутреннего распорядка. Одним из важных составляющих успеваемости является посещаемость студентами учебных занятий. По данным факультетов средняя посещаемость в университете составила в среднем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91,2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>% что составляет неплохой  показатель. Однако в отдельных случаях имеются заметные расхождения от среднего значения.  Проводились меры по устранению этих недостатков, объявлялись выговоры, замечания, а в некоторых случаях применялись более действенные меры, такие как отчисления студентов.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В соответствии с графиками учебного процесса и приказами Ректора были установлены сроки прохождения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-экзаменационных сессий для всех курсов. 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По решению Ученого Совета от 24 мая 2010г. протокол № 8, и приказа под № 324 от 1 июня 2010 года, 7 групп 1 курса направления «Лингвистика» в порядке эксперимента перешли на кредитно-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-рейтинговую технологию обучения. В соответствии с планом были выполнены все организационно-методические работы, необходимые для планирования и организации учебного процесса в рамках кредитно-рейтинговой системы обучения (КРСО). В целях администрирования учебного процесса по кредитно-рейтинговой системе обучения 15 октября 2015 года был создан Центр администрирования, тестирования и информационного обслуживания (далее – ЦАТИО).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Хотелось бы отметить, что результаты сдачи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-экзаменационных сессий студентами по сравнению с прошлым периодом, имеют тенденцию к повышению, особенно по качественным показателям. Так если учесть что общий показатель успеваемости по итогам 2014-2015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. составлял 74,4%, то уже в 2015-2016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этот показатель вырос на 3,6% и составил 78%.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ab/>
        <w:t xml:space="preserve"> В университете по состоянию на 01 октября 2017 года на 30 кафедрах преподаёт 279  преподавателей (57 внешних) (из них 146 женщин). </w:t>
      </w:r>
      <w:r w:rsidRPr="006369E9">
        <w:rPr>
          <w:rFonts w:ascii="Times New Roman" w:hAnsi="Times New Roman" w:cs="Times New Roman"/>
          <w:sz w:val="28"/>
          <w:szCs w:val="28"/>
        </w:rPr>
        <w:lastRenderedPageBreak/>
        <w:t xml:space="preserve">Из них 153 кандидатов наук, 58 доктора наук, 53 имеют звание доцента и 17 звание профессора.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Количество студентов по состоянию на 1 октября 2017 года составляет </w:t>
      </w:r>
      <w:r w:rsidRPr="006369E9">
        <w:rPr>
          <w:rFonts w:ascii="Times New Roman" w:hAnsi="Times New Roman" w:cs="Times New Roman"/>
          <w:b/>
          <w:sz w:val="28"/>
          <w:szCs w:val="28"/>
        </w:rPr>
        <w:t>6234</w:t>
      </w:r>
      <w:r w:rsidRPr="006369E9">
        <w:rPr>
          <w:rFonts w:ascii="Times New Roman" w:hAnsi="Times New Roman" w:cs="Times New Roman"/>
          <w:sz w:val="28"/>
          <w:szCs w:val="28"/>
        </w:rPr>
        <w:t xml:space="preserve"> человек (131 иностранные студенты), из них 2812 обучается на бюджетной основе и 3422 на договорной.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Практика в университете является логическим продолжением теоретических курсов, способствует активному включению студентов в профессию по окончании вуза, знакомству с рынком труда, самоопределению молодых людей в будущей профессии.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Всего по РТСУ в 2015-16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было проведено 118 практик 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6369E9">
        <w:rPr>
          <w:rFonts w:ascii="Times New Roman" w:hAnsi="Times New Roman" w:cs="Times New Roman"/>
          <w:b/>
          <w:sz w:val="28"/>
          <w:szCs w:val="28"/>
        </w:rPr>
        <w:t>По дневному отделению</w:t>
      </w:r>
      <w:r w:rsidRPr="006369E9">
        <w:rPr>
          <w:rFonts w:ascii="Times New Roman" w:hAnsi="Times New Roman" w:cs="Times New Roman"/>
          <w:sz w:val="28"/>
          <w:szCs w:val="28"/>
        </w:rPr>
        <w:t xml:space="preserve"> - учебных-28 (1167 чел.),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 -  производственных – 58 (1385 чел.)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b/>
          <w:sz w:val="28"/>
          <w:szCs w:val="28"/>
        </w:rPr>
        <w:t>По заочному отделению</w:t>
      </w:r>
      <w:r w:rsidRPr="006369E9">
        <w:rPr>
          <w:rFonts w:ascii="Times New Roman" w:hAnsi="Times New Roman" w:cs="Times New Roman"/>
          <w:sz w:val="28"/>
          <w:szCs w:val="28"/>
        </w:rPr>
        <w:t xml:space="preserve"> - учебных – 13 (637 чел.),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  - производственных – 19 (746 чел.)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Профессионально-практическая подготовка студентов осуществляется на основе договоров. Университет устанавливает прямые двусторонние отношения с предприятиями и организациями республики, представители организаций и фирм регулярно встречаются с руководством университета и факультетов для проведения собеседования с выпускниками.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На сегодняшний день заключено 100  долгосрочных договоров на практику, из них 46 - с последующим трудоустройством наиболее подготовленных выпускников.  Практики, которые проводятся на предприятиях и в организациях, являются потенциальным местом работы будущих выпускников.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Многие выпускники трудоустроились в организации, где ранее проходили практику (Министерство юстиции РТ, Министерство внутренних дел РТ, Министерство иностранных дел РТ, ОАО «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Агроинвестбанк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Ориенбанк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Точиксодиротбанк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>», ТВ «Сафина», «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Шабакаи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авал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Пойтахт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>», радио «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Садои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Душанбе», газета «Азия плюс», Национальная </w:t>
      </w:r>
      <w:r w:rsidRPr="006369E9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РТ, Министерство культуры РТ, Национальный музей древностей Таджикистана).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Кроме того, отдел активно сотрудничает с Министерством образования Республики Таджикистан и отделами народного образования по вопросу распределения студентов выпускных курсов педагогических специальностей («Филология», «История», педагогическое образование (Русский язык и литература), «Математика», «Биология», «Химия») на постоянную работу в школы, испытывающие потребность в учителях. Востребованность учителей в средних образовательных школах по республике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Большее количество выпускников педагогических специальностей было распределено и направлено на постоянную работу по месту жительства в города и районы республиканского подчинения для дальнейшего распределения по школам. А желающие продолжить обучение поступили в магистратуру РТСУ, России, Китая, Германии.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Наиболее подготовленных молодых специалистов университет оставляет для работы в своих научно-педагогических подразделениях (15 человек за отчетный период).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Хорошие перспективы трудоустройства имеют выпускники таких направлений, как «Экономика», «Менеджмент», «Лингвистика», «Журналистика» и специальности «Прикладная информатика».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На многих выпускников университета, работающих в республике, получены отзывы, в которых отмечается их хорошая теоретическая подготовка, фундаментальность знаний и умение применять их в различных сферах практической деятельности.  Также положительные отзывы были получены от средних общеобразовательных школ г. Душанбе.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Во втором полугодии последнего курса обучения студентами-выпускниками заполняются анкеты для формирования базы данных выпускников. Информация необходима для содействия их трудоустройству. Результаты анкетирования выставляются на сайте университета в разделе </w:t>
      </w:r>
      <w:r w:rsidRPr="006369E9">
        <w:rPr>
          <w:rFonts w:ascii="Times New Roman" w:hAnsi="Times New Roman" w:cs="Times New Roman"/>
          <w:sz w:val="28"/>
          <w:szCs w:val="28"/>
        </w:rPr>
        <w:lastRenderedPageBreak/>
        <w:t xml:space="preserve">«Выпускники» и позволяют организациям – работодателям выявлять насколько совпадают требования работодателя и выпускника.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На выпускающих кафедрах проводятся встречи с работодателями, «круглые столы», на которых будущие выпускники могут напрямую получить интересующую их информацию о будущем трудоустройстве. Впервые, для участия в работе государственных аттестационных комиссий были приглашены работодатели, для отбора лучших выпускников для последующего трудоустройства.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Ежегодно организуются встречи профессорско-преподавательского состава с выпускниками школ г. Душанбе, проводятся «Дни открытых дверей».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В этом году процент выпускников, выехавших за пределы РТ, составил около 7 % от общего числа выпускников 2016 года.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Таким образом, решение задачи эффективного трудоустройства выпускников повышает рейтинг, авторитет и влияние РТСУ на рынках труда и образовательных услуг.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В РТСУ магистратура функционирует с 2011 года. До 2013 г. в магистратуре обучение велось только на дневном отделении. С 2013 г. и на заочном отделении начали вести подготовку магистрантов. В настоящее время в магистратуре университета обучаются 766 человек (463 – очно, 303 - заочно) по 22 программам подготовки 11 направлений. В 2015-2016 учебном году дневное отделение магистратуры РТСУ окончили 112 человек. 60 человек на данном этапе проходят итоговую государственную аттестацию по заочному обучению. Обучение магистрантов в РТСУ осуществляется согласно федеральным образовательным стандартам высшего образования. Все магистранты имеют индивидуальные планы новой формы, где отражена их учебная, научно-исследовательская работа.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Обучение в магистратуре РТСУ ведется по учебным планам, составленным на основе ФГОС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 xml:space="preserve"> специализирующими  кафедрами   и утвержденными Ученым Советом и ректором РТСУ. 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lastRenderedPageBreak/>
        <w:t>Эти стандарты предполагают организацию обучения в магистратуре по всем формам обучения (очно, очно-заочно, заочно).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О работе ИПК РТСУ в 2015-16 уч. году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В отчётном году Институтом повышения квалификации были проведены следующие учебно-методические мероприятия: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В сентябре-октябре 2015 года курсы повышения профессиональной квалификации по программе «Противодействие коррупции»  (40 часов) прошли 65 преподавателей РТСУ. В январе 2016 года по той же программе обучались 80 человек. Всего по данной программе прослушали лекции и посетили практические занятия 145 преподавателей.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В ноябре 2015 года прошли курсы повышения квалификации 30 учителей русского языка и литературы средних общеобразовательных учреждений из отдалённых регионов республики (72-хчасовая программа).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В январе-феврале 2016 года в рамках Программы развития университета успешно прошли 500-часовые курсы профессиональной переподготовки  учителей русского языка, не имевшие специального филологического образования. На этих курсах обучались 16 учителей из отдалённых районов Республики, которые в соответствии с требованием Закона об образовании Российской Федерации получили диплом о профессиональной переподготовке.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В марте 2016 года состоялись курсы повышения квалификации для учителей английского языка школ г. Душанбе. Обучение прошли 27 учителей.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На базе Института повышения квалификации в мае 2016 года прошла Международная летняя научная школа «Актуальные проблемы когнитивной лингвистики и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». Удостоверения об участии в работе Школы получили 22 преподавателя вузов г. Душанбе и Российской Федерации.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за 2015-2016 учебный год в Институте повышения квалификации повысили свою профессиональную квалификацию 167 преподавателей вузов и 73 учителя средних общеобразовательных учреждений. Всего 240 человек. 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ИГА в 2015-2016 учебном году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и программам магистратуры устанавливает процедуру организации и проведения организациями, осуществляющими образовательную деятельность по образовательным программам высшего образования - программам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и программам магистратуры в отчетном году был проведен на основе новых требований а именно по приказу  МОН РФ  №636 от 29 июня 2015 года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        Государственная итоговая аттестация обучающихся организаций проводится в форме:- государственного экзамена;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>ащиты выпускной квалификационной работы. Конкретные формы проведения государственной итоговой аттестации устанавливаются организациями с учетом требований, установленных стандартом. Следует, напомнит, что по вышеуказанному приказу внесены существенные изменения в организации ИГА выпускников: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--26.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В состав государственной экзаменационной комиссии включаются не менее 4 человек, из которых не менее 2 человек являются ведущими специалистами - представителями работодателей или их объединений в соответствующей области профессиональной деятельности (далее - специалисты), остальные - лицами, относящимися к профессорско-преподавательскому составу данной организации и (или) иных организаций и (или) научными работниками данной организации и (или) иных организаций, имеющими ученое звание и (или) ученую степень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>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lastRenderedPageBreak/>
        <w:t>В состав апелляционной комиссии включаются не менее 4 человек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Из числа лиц, включенных в состав комиссий, председателями комиссий назначаются заместители председателей комиссий.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организацией в электронно-библиотечной системе организации и проверяются на объём заимствования.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Порядок размещения текстов выпускных квалификационных работ в электронно-библиотечной системе организации, проверки на объём заимствования, в том числе содержательного, выявления неправомочных заимствований устанавливается организацией. В 2015-2015 учебном году количество выпускников составило 1193 человек, из них 126 по программе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>, 900 бакалавров и 167 магистранта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9E9">
        <w:rPr>
          <w:rFonts w:ascii="Times New Roman" w:hAnsi="Times New Roman" w:cs="Times New Roman"/>
          <w:b/>
          <w:sz w:val="28"/>
          <w:szCs w:val="28"/>
        </w:rPr>
        <w:t>Учебно-методические издания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Всего ППС РТСУ за прошедший период было издано 91 учебно-методическая литература общим объемом 663,6 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. В состав публикаций входили учебно-методические пособия, курсы лекций, методические рекомендации, учебники др.  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>Постоянно размещается информация в информационно-аналитическую систему ФГБУ «ИНТЕРОБРАЗОВАНИЕ» о ходе приема в он-</w:t>
      </w:r>
      <w:proofErr w:type="spellStart"/>
      <w:r w:rsidRPr="006369E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369E9">
        <w:rPr>
          <w:rFonts w:ascii="Times New Roman" w:hAnsi="Times New Roman" w:cs="Times New Roman"/>
          <w:sz w:val="28"/>
          <w:szCs w:val="28"/>
        </w:rPr>
        <w:t xml:space="preserve"> сервис сайта </w:t>
      </w:r>
      <w:hyperlink r:id="rId8" w:history="1">
        <w:r w:rsidRPr="006369E9">
          <w:rPr>
            <w:rStyle w:val="a5"/>
            <w:rFonts w:ascii="Times New Roman" w:hAnsi="Times New Roman" w:cs="Times New Roman"/>
            <w:sz w:val="28"/>
            <w:szCs w:val="28"/>
          </w:rPr>
          <w:t>http://gzgu.ru/</w:t>
        </w:r>
      </w:hyperlink>
      <w:r w:rsidRPr="006369E9">
        <w:rPr>
          <w:rFonts w:ascii="Times New Roman" w:hAnsi="Times New Roman" w:cs="Times New Roman"/>
          <w:sz w:val="28"/>
          <w:szCs w:val="28"/>
        </w:rPr>
        <w:t xml:space="preserve">, так, был представлен отчет о приемной кампании по форме </w:t>
      </w:r>
      <w:hyperlink r:id="rId9" w:history="1">
        <w:r w:rsidRPr="006369E9">
          <w:rPr>
            <w:rStyle w:val="a5"/>
            <w:rFonts w:ascii="Times New Roman" w:hAnsi="Times New Roman" w:cs="Times New Roman"/>
            <w:b/>
            <w:sz w:val="28"/>
            <w:szCs w:val="28"/>
          </w:rPr>
          <w:t> </w:t>
        </w:r>
        <w:r w:rsidRPr="006369E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«Мониторинг ПК - 2015»</w:t>
        </w:r>
      </w:hyperlink>
      <w:r w:rsidRPr="006369E9">
        <w:rPr>
          <w:rFonts w:ascii="Times New Roman" w:hAnsi="Times New Roman" w:cs="Times New Roman"/>
          <w:sz w:val="28"/>
          <w:szCs w:val="28"/>
        </w:rPr>
        <w:t xml:space="preserve"> в электронном и бумажном виде.</w:t>
      </w:r>
    </w:p>
    <w:p w:rsidR="002D0B3D" w:rsidRPr="006369E9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E9">
        <w:rPr>
          <w:rFonts w:ascii="Times New Roman" w:hAnsi="Times New Roman" w:cs="Times New Roman"/>
          <w:sz w:val="28"/>
          <w:szCs w:val="28"/>
        </w:rPr>
        <w:t xml:space="preserve">В октябре-ноябре 2015 года активно велась работа по подготовке к профессионально-общественной аккредитации по двум направлениям подготовки «Лингвистика» - квалификация магистр – программа подготовки Теоретическая и прикладная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лингвистика</w:t>
      </w:r>
      <w:proofErr w:type="gramEnd"/>
      <w:r w:rsidRPr="006369E9">
        <w:rPr>
          <w:rFonts w:ascii="Times New Roman" w:hAnsi="Times New Roman" w:cs="Times New Roman"/>
          <w:sz w:val="28"/>
          <w:szCs w:val="28"/>
        </w:rPr>
        <w:t xml:space="preserve"> и «Прикладная информатика» - </w:t>
      </w:r>
      <w:r w:rsidRPr="006369E9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квалификация бакалавр. </w:t>
      </w:r>
      <w:proofErr w:type="gramStart"/>
      <w:r w:rsidRPr="006369E9">
        <w:rPr>
          <w:rFonts w:ascii="Times New Roman" w:hAnsi="Times New Roman" w:cs="Times New Roman"/>
          <w:sz w:val="28"/>
          <w:szCs w:val="28"/>
        </w:rPr>
        <w:t>В результате представленной документации университет получил общее заключение от экспертов Частного образовательного учреждения дополнительного профессионального образования «Учебно-методический центр «Восток»» для проведения профессионально-общественной аккредитации - степень готовности образовательного учреждения к процедуре государственной аккредитации достаточно высокая.</w:t>
      </w:r>
      <w:proofErr w:type="gramEnd"/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59E">
        <w:rPr>
          <w:rFonts w:ascii="Times New Roman" w:hAnsi="Times New Roman" w:cs="Times New Roman"/>
          <w:sz w:val="28"/>
          <w:szCs w:val="28"/>
        </w:rPr>
        <w:t xml:space="preserve">В университете осуществляется научно-исследовательская деятельность ППС по ряду научных направлений: филологии, культурологии, политологии, философии, психологии, экономики, юриспруденции, истории Таджикистана и России, информационных технологий, а также точных и естественных наук: математики, физики, биологии, химии. </w:t>
      </w:r>
      <w:proofErr w:type="gramEnd"/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В  2016 году разрабатывались 11 научно-исследовательских тем, выполняемых из бюджета Республики Таджикистан,  8 тем, финансируемых из бюджета РТСУ, а также и осуществлялись 2 научно-исследовательских проекта, финансируемых из сре</w:t>
      </w:r>
      <w:proofErr w:type="gramStart"/>
      <w:r w:rsidRPr="003C55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ограммы развития университета. С каждым годом научная деятельность преподавателей становится более результативной. Преподаватели обращаются к актуальным проблемам фундаментальных и прикладных наук, </w:t>
      </w:r>
      <w:proofErr w:type="gramStart"/>
      <w:r w:rsidRPr="003C559E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исследования которых используются в народном хозяйстве и в учебном процессе. 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Результаты исследований апробируются в докладах, представленных на научно-практических конференциях, круглых столах. В 2016 году были проведены 3 международные конференции, 1 международный форум, 4 республиканские конференции, 1 международный круглый стол, на которых принимали участие преподаватели РТСУ и ученые ближнего и дальнего зарубежья. 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lastRenderedPageBreak/>
        <w:t xml:space="preserve">Апробированные результаты исследований отражены в научных публикациях. Издано в 2016 году 9 монографий, 8 сборников научных статей, 3 научных журнала «Вестник университета». 5 научных статей были опубликованы в  научных журналах, индексируемых в базе данных </w:t>
      </w:r>
      <w:r w:rsidRPr="003C559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3C559E">
        <w:rPr>
          <w:rFonts w:ascii="Times New Roman" w:hAnsi="Times New Roman" w:cs="Times New Roman"/>
          <w:sz w:val="28"/>
          <w:szCs w:val="28"/>
        </w:rPr>
        <w:t>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Все работы, рекомендуемые для публикации, проводятся через Систему проверки «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>», что свидетельствует о повышении требования к качеству публикуемой научной литературы.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С целью подготовки научно-педагогических кадров в университете функционирует аспирантура по следующим направлениям:</w:t>
      </w:r>
    </w:p>
    <w:p w:rsidR="002D0B3D" w:rsidRPr="003C559E" w:rsidRDefault="002D0B3D" w:rsidP="002D0B3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38.06.01- Экономика// программа подготовки: 08.00.01- экономическая теория</w:t>
      </w:r>
    </w:p>
    <w:p w:rsidR="002D0B3D" w:rsidRPr="003C559E" w:rsidRDefault="002D0B3D" w:rsidP="002D0B3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42.06.01-Средства массовой информации и информационно-библиотечное дело// программа подготовки 10.01.10- журналистика</w:t>
      </w:r>
    </w:p>
    <w:p w:rsidR="002D0B3D" w:rsidRPr="003C559E" w:rsidRDefault="002D0B3D" w:rsidP="002D0B3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45.06.01- Языкознание и литературоведение // Программа подготовки 10.02.20-Сравнительно-историческое, типологическое и сопоставительное языкознание;</w:t>
      </w:r>
    </w:p>
    <w:p w:rsidR="002D0B3D" w:rsidRPr="003C559E" w:rsidRDefault="002D0B3D" w:rsidP="002D0B3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46.06.01-История и археология// программа подготовки 07.00.02- Отечественная история.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59E">
        <w:rPr>
          <w:rFonts w:ascii="Times New Roman" w:hAnsi="Times New Roman" w:cs="Times New Roman"/>
          <w:sz w:val="28"/>
          <w:szCs w:val="28"/>
        </w:rPr>
        <w:t>В РТСУ на данный момент обучаются 29 аспирантов, из них на бюджетной основе обучаются 18 аспирантов (16 - на очной, 2 - на заочной форме обучения) и на договорной основе -11 аспирантов (6 - с отрывом от производства и 5 – без отрыва от производства), а также 82 лица, прикрепленных к кафедрам для подготовки диссертации на соискание ученой степени кандидата наук без освоения программы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подготовки в аспирантуре по тем направлениям, по которым в вузе имеются действующие советы.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В вузе функционирует диссертационный совет по специальности 10.01.10-журналистика и по специальности 10.02.20–сравнительно-историческое, типологическое и сопоставительное языкознание на соискание ученой степени доктора наук, в котором  в текущем году были защищены  17 диссертаций.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Преподавателями вуза были защищены 4 кандидатские диссертации: 2 по специальности 08.00.01 - экономика, 1 по специальности 13.00.01 - общая педагогика, история педагогики и образования и 1 по специальности физика, а также 1 докторская диссертация по специальности 07.00.02 - отечественная история. В конце декабря планируется защита докторской диссертации по юриспруденции. 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В 2016 году прошли курсы повышения квалификации и научные стажировки 21 преподаватель вуза. С целью установления международных научных связей с вузами и организациями зарубежных стран 33 преподавателя и сотрудника университета выезжали за пределы Республики Таджикистан: выступали с лекциями, участвовали в работе международных конгрессов, форумов, конференций, круглых столов, совещаний и семинаров, научных проектов, проходили курсы повышения квалификации, стажировки и т.д. 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В университете ведется научно-исследовательская работа студентов. Студенты вуза принимают активное участие в научных мероприятиях университета и за его пределами: 1 международной конференции, 3 вузовских конференциях, в том числе конференции молодых ученых, 1 республиканской видеоконференции, а также в Республиканских конкурсах «Студент и НТП» и «Лучший новатор».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На конкурс «Лучший изобретатель-2016» («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Навовари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бехтарин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>») в г. Худжанде в июне 2016г. был представлен  «Проект РТСУ</w:t>
      </w:r>
      <w:proofErr w:type="gramStart"/>
      <w:r w:rsidRPr="003C559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В». Этот проект представляет создание </w:t>
      </w:r>
      <w:proofErr w:type="gramStart"/>
      <w:r w:rsidRPr="003C559E">
        <w:rPr>
          <w:rFonts w:ascii="Times New Roman" w:hAnsi="Times New Roman" w:cs="Times New Roman"/>
          <w:sz w:val="28"/>
          <w:szCs w:val="28"/>
        </w:rPr>
        <w:t>студенческого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видеопортала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при сайте РТСУ. Разработчик студент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3 ПИА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Бобоев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Б. (ныне студент 4-го курса).  Руководитель проекта - преподаватель кафедры информатики и ИС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Мадибрагимов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Н.Ш.    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2 проекта были представлены на конкурсе РТСУ в апреле 2016г., на форуме ТУТ 28 мая 2016г.:</w:t>
      </w:r>
    </w:p>
    <w:p w:rsidR="002D0B3D" w:rsidRPr="003C559E" w:rsidRDefault="002D0B3D" w:rsidP="002D0B3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«Электронный журнал как часть электронного Ректората РТСУ». Данный проект представлен студентами 2-го курса ПИ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lastRenderedPageBreak/>
        <w:t>Исмоиловым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Н. и Ахмедовой С. (ныне студенты 3 курса). Проект </w:t>
      </w:r>
      <w:proofErr w:type="gramStart"/>
      <w:r w:rsidRPr="003C559E">
        <w:rPr>
          <w:rFonts w:ascii="Times New Roman" w:hAnsi="Times New Roman" w:cs="Times New Roman"/>
          <w:sz w:val="28"/>
          <w:szCs w:val="28"/>
        </w:rPr>
        <w:t xml:space="preserve">написан под руководством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Иркаева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Б.Н. Проект получил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первое место на межфакультетском конкурсе в РТСУ в 2015-2016 уч. году. Кроме этого данный проект получил высокую оценку на международном городском конкурсе «Женщины лидеры в ИКТ». Проект также получил 3 место в Красноярске и был единственным иностранным проектом. Проект будет реализован в рамках Технопарка РТСУ. </w:t>
      </w:r>
    </w:p>
    <w:p w:rsidR="002D0B3D" w:rsidRPr="003C559E" w:rsidRDefault="002D0B3D" w:rsidP="002D0B3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Моноколесо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как вид нового транспорта для молодежи». Данный проект представляет новый вид молодежного транспорта – экологически чистого и динамичного. Разработчики проекта – студенты гр. 3 ПИ Б Сафаров,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Бакоев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(ныне студенты 4-го курса). Проект написан под руководством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Иркаева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Б.Н. Проект будет разрабатываться в рамках Технопарка РТСУ.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ПЕРСПЕКТИВЫ РАЗВИТИЯ НА 2017 ГОД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В 2017 году планируется разработка 10 научно-исследовательских проектов, финансируемых из бюджета Республики Таджикистан.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В соответствии с планом научных мероприятий планируется проведение 22 научных мероприятий: конференций, круглых столов, из них 10 международных и республиканских мероприятий.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Согласно плану изданий научной литературы будут опубликованы 11 монографий, 4 сборника научных статей студентов и магистрантов.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В соответствии с планом повышения квалификации и стажировок  преподавателями РТСУ на 2016-2017 учебный год запланировано 14 курсов повышения квалификации и научных стажировок.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 </w:t>
      </w:r>
      <w:r w:rsidRPr="002C7D4D">
        <w:rPr>
          <w:rFonts w:ascii="Times New Roman" w:hAnsi="Times New Roman" w:cs="Times New Roman"/>
          <w:b/>
          <w:sz w:val="28"/>
          <w:szCs w:val="28"/>
        </w:rPr>
        <w:t>Международная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i/>
          <w:sz w:val="28"/>
          <w:szCs w:val="28"/>
        </w:rPr>
        <w:t>Межвузовское сотрудничество.</w:t>
      </w:r>
      <w:r w:rsidRPr="00F64D24">
        <w:rPr>
          <w:rFonts w:ascii="Times New Roman" w:hAnsi="Times New Roman" w:cs="Times New Roman"/>
          <w:sz w:val="28"/>
          <w:szCs w:val="28"/>
        </w:rPr>
        <w:t xml:space="preserve"> Университет имеет 96 договоров о сотрудничестве с зарубежными университетами. За отчетный  период было </w:t>
      </w:r>
      <w:r w:rsidRPr="00F64D24">
        <w:rPr>
          <w:rFonts w:ascii="Times New Roman" w:hAnsi="Times New Roman" w:cs="Times New Roman"/>
          <w:sz w:val="28"/>
          <w:szCs w:val="28"/>
        </w:rPr>
        <w:lastRenderedPageBreak/>
        <w:t xml:space="preserve">подписано </w:t>
      </w:r>
      <w:r w:rsidRPr="00F64D2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Pr="00F64D24">
        <w:rPr>
          <w:rFonts w:ascii="Times New Roman" w:hAnsi="Times New Roman" w:cs="Times New Roman"/>
          <w:sz w:val="28"/>
          <w:szCs w:val="28"/>
        </w:rPr>
        <w:t xml:space="preserve">соглашений с зарубежными вузами, в том числе с такими вузами, как Иркутский национальный исследовательский технический университет (РФ), Белорусско-Российский университет (Республика Беларусь), </w:t>
      </w:r>
      <w:proofErr w:type="spellStart"/>
      <w:r w:rsidRPr="00F64D24">
        <w:rPr>
          <w:rFonts w:ascii="Times New Roman" w:hAnsi="Times New Roman" w:cs="Times New Roman"/>
          <w:bCs/>
          <w:sz w:val="28"/>
          <w:szCs w:val="28"/>
        </w:rPr>
        <w:t>Гансуйский</w:t>
      </w:r>
      <w:proofErr w:type="spellEnd"/>
      <w:r w:rsidRPr="00F64D24">
        <w:rPr>
          <w:rFonts w:ascii="Times New Roman" w:hAnsi="Times New Roman" w:cs="Times New Roman"/>
          <w:bCs/>
          <w:sz w:val="28"/>
          <w:szCs w:val="28"/>
        </w:rPr>
        <w:t xml:space="preserve"> институт политологии и права (КНР),</w:t>
      </w:r>
      <w:r w:rsidRPr="00F6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D24">
        <w:rPr>
          <w:rFonts w:ascii="Times New Roman" w:hAnsi="Times New Roman" w:cs="Times New Roman"/>
          <w:sz w:val="28"/>
          <w:szCs w:val="28"/>
        </w:rPr>
        <w:t xml:space="preserve">Омский государственный университет им.  Ф.М. Достоевского (РФ) и </w:t>
      </w:r>
      <w:proofErr w:type="spellStart"/>
      <w:r w:rsidRPr="00F64D24">
        <w:rPr>
          <w:rFonts w:ascii="Times New Roman" w:hAnsi="Times New Roman" w:cs="Times New Roman"/>
          <w:bCs/>
          <w:sz w:val="28"/>
          <w:szCs w:val="28"/>
        </w:rPr>
        <w:t>Синьцзянский</w:t>
      </w:r>
      <w:proofErr w:type="spellEnd"/>
      <w:r w:rsidRPr="00F64D24">
        <w:rPr>
          <w:rFonts w:ascii="Times New Roman" w:hAnsi="Times New Roman" w:cs="Times New Roman"/>
          <w:bCs/>
          <w:sz w:val="28"/>
          <w:szCs w:val="28"/>
        </w:rPr>
        <w:t xml:space="preserve"> университет (КНР).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 xml:space="preserve">РТСУ участвует в следующих </w:t>
      </w:r>
      <w:r w:rsidRPr="00F64D24">
        <w:rPr>
          <w:rFonts w:ascii="Times New Roman" w:hAnsi="Times New Roman" w:cs="Times New Roman"/>
          <w:i/>
          <w:sz w:val="28"/>
          <w:szCs w:val="28"/>
        </w:rPr>
        <w:t>международных образовательных программах и проектах:</w:t>
      </w:r>
    </w:p>
    <w:p w:rsidR="002D0B3D" w:rsidRPr="00F64D24" w:rsidRDefault="002D0B3D" w:rsidP="002D0B3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>Сетевой университет СНГ (МФГС СНГ)</w:t>
      </w:r>
    </w:p>
    <w:p w:rsidR="002D0B3D" w:rsidRPr="00F64D24" w:rsidRDefault="002D0B3D" w:rsidP="002D0B3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>Университет Шанхайской организации сотрудничества (ШОС)</w:t>
      </w:r>
    </w:p>
    <w:p w:rsidR="002D0B3D" w:rsidRPr="00F64D24" w:rsidRDefault="002D0B3D" w:rsidP="002D0B3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>Проект «</w:t>
      </w:r>
      <w:r w:rsidRPr="00F64D24">
        <w:rPr>
          <w:rFonts w:ascii="Times New Roman" w:hAnsi="Times New Roman" w:cs="Times New Roman"/>
          <w:sz w:val="28"/>
          <w:szCs w:val="28"/>
          <w:lang w:val="en-US"/>
        </w:rPr>
        <w:t>UNICO</w:t>
      </w:r>
      <w:r w:rsidRPr="00F64D24">
        <w:rPr>
          <w:rFonts w:ascii="Times New Roman" w:hAnsi="Times New Roman" w:cs="Times New Roman"/>
          <w:sz w:val="28"/>
          <w:szCs w:val="28"/>
        </w:rPr>
        <w:t>» (Европейский союз)</w:t>
      </w:r>
    </w:p>
    <w:p w:rsidR="002D0B3D" w:rsidRPr="00F64D24" w:rsidRDefault="002D0B3D" w:rsidP="002D0B3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F64D24">
        <w:rPr>
          <w:rFonts w:ascii="Times New Roman" w:hAnsi="Times New Roman" w:cs="Times New Roman"/>
          <w:sz w:val="28"/>
          <w:szCs w:val="28"/>
          <w:lang w:val="en-US"/>
        </w:rPr>
        <w:t>gSmart</w:t>
      </w:r>
      <w:proofErr w:type="spellEnd"/>
      <w:r w:rsidRPr="00F64D24">
        <w:rPr>
          <w:rFonts w:ascii="Times New Roman" w:hAnsi="Times New Roman" w:cs="Times New Roman"/>
          <w:sz w:val="28"/>
          <w:szCs w:val="28"/>
        </w:rPr>
        <w:t>» (Европейский союз)</w:t>
      </w:r>
    </w:p>
    <w:p w:rsidR="002D0B3D" w:rsidRPr="00F64D24" w:rsidRDefault="002D0B3D" w:rsidP="002D0B3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>Проект «</w:t>
      </w:r>
      <w:r w:rsidRPr="00F64D24">
        <w:rPr>
          <w:rFonts w:ascii="Times New Roman" w:hAnsi="Times New Roman" w:cs="Times New Roman"/>
          <w:sz w:val="28"/>
          <w:szCs w:val="28"/>
          <w:lang w:val="en-US"/>
        </w:rPr>
        <w:t>CANEM</w:t>
      </w:r>
      <w:r w:rsidRPr="00F64D24">
        <w:rPr>
          <w:rFonts w:ascii="Times New Roman" w:hAnsi="Times New Roman" w:cs="Times New Roman"/>
          <w:sz w:val="28"/>
          <w:szCs w:val="28"/>
        </w:rPr>
        <w:t xml:space="preserve"> </w:t>
      </w:r>
      <w:r w:rsidRPr="00F64D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4D24">
        <w:rPr>
          <w:rFonts w:ascii="Times New Roman" w:hAnsi="Times New Roman" w:cs="Times New Roman"/>
          <w:sz w:val="28"/>
          <w:szCs w:val="28"/>
        </w:rPr>
        <w:t>» (Европейский союз)</w:t>
      </w:r>
    </w:p>
    <w:p w:rsidR="002D0B3D" w:rsidRPr="00F64D24" w:rsidRDefault="002D0B3D" w:rsidP="002D0B3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>Реформа юридического образования в Республике Таджикистан (Американская ассоциация юристов)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>Одно из приоритетных направлений международной дея</w:t>
      </w:r>
      <w:r w:rsidRPr="00F64D24">
        <w:rPr>
          <w:rFonts w:ascii="Times New Roman" w:hAnsi="Times New Roman" w:cs="Times New Roman"/>
          <w:sz w:val="28"/>
          <w:szCs w:val="28"/>
        </w:rPr>
        <w:softHyphen/>
        <w:t xml:space="preserve">тельности РТСУ - </w:t>
      </w:r>
      <w:r w:rsidRPr="00F64D24">
        <w:rPr>
          <w:rFonts w:ascii="Times New Roman" w:hAnsi="Times New Roman" w:cs="Times New Roman"/>
          <w:i/>
          <w:sz w:val="28"/>
          <w:szCs w:val="28"/>
        </w:rPr>
        <w:t>набор иностранных граждан</w:t>
      </w:r>
      <w:r w:rsidRPr="00F64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D24">
        <w:rPr>
          <w:rFonts w:ascii="Times New Roman" w:hAnsi="Times New Roman" w:cs="Times New Roman"/>
          <w:sz w:val="28"/>
          <w:szCs w:val="28"/>
        </w:rPr>
        <w:t>По состоянию на декабрь 2016 года общее число иностранных граждан, обучающихся в РТСУ, составило 189 чел. из 13 стран мира (</w:t>
      </w:r>
      <w:r w:rsidRPr="00F64D24">
        <w:rPr>
          <w:rFonts w:ascii="Times New Roman" w:hAnsi="Times New Roman" w:cs="Times New Roman"/>
          <w:sz w:val="28"/>
          <w:szCs w:val="28"/>
          <w:lang w:val="tg-Cyrl-TJ"/>
        </w:rPr>
        <w:t>Азербайджан</w:t>
      </w:r>
      <w:r w:rsidRPr="00F64D24">
        <w:rPr>
          <w:rFonts w:ascii="Times New Roman" w:hAnsi="Times New Roman" w:cs="Times New Roman"/>
          <w:sz w:val="28"/>
          <w:szCs w:val="28"/>
        </w:rPr>
        <w:t xml:space="preserve"> – 2; Армения – 2; Афганистан – 6; Германия – 1; Иран  -4; Казахстан – 4; Киргизия – 2; КНР – 62; Корея – 2; Россия – 80; Туркменистан – 15; Узбекистан – 8;</w:t>
      </w:r>
      <w:r w:rsidRPr="00F64D24">
        <w:rPr>
          <w:rFonts w:ascii="Times New Roman" w:hAnsi="Times New Roman" w:cs="Times New Roman"/>
          <w:sz w:val="28"/>
          <w:szCs w:val="28"/>
          <w:lang w:val="tg-Cyrl-TJ"/>
        </w:rPr>
        <w:t xml:space="preserve"> Эстония </w:t>
      </w:r>
      <w:r w:rsidRPr="00F64D24">
        <w:rPr>
          <w:rFonts w:ascii="Times New Roman" w:hAnsi="Times New Roman" w:cs="Times New Roman"/>
          <w:sz w:val="28"/>
          <w:szCs w:val="28"/>
        </w:rPr>
        <w:t>– 1).</w:t>
      </w:r>
      <w:proofErr w:type="gramEnd"/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 xml:space="preserve">Прием иностранных граждан на все формы обучения и все уровни в 2016/2017 учебном году составил 80 чел. из 9 стран мира, в это число входят: бакалавры - 41; магистры - 14; аспиранты - 3; слушатели курсов русского языка - 22. Наиболее широко в приеме 2016 года представлены граждане Китая, России, Туркменистана. 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i/>
          <w:sz w:val="28"/>
          <w:szCs w:val="28"/>
        </w:rPr>
        <w:t>Академическая мобильность студентов и преподавателей.</w:t>
      </w:r>
      <w:r w:rsidRPr="00F64D24">
        <w:rPr>
          <w:rFonts w:ascii="Times New Roman" w:hAnsi="Times New Roman" w:cs="Times New Roman"/>
          <w:sz w:val="28"/>
          <w:szCs w:val="28"/>
        </w:rPr>
        <w:t xml:space="preserve"> 62 студентов прошли обучение в рамках программ академических обменов в вузах, Казахстана - 2, Китая - 24, России - 31, Японии - 3, Южной Кореи – 2. 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lastRenderedPageBreak/>
        <w:t xml:space="preserve">На филологическом факультете были приняты на учебу на осенний семестр 10 студентов </w:t>
      </w:r>
      <w:proofErr w:type="spellStart"/>
      <w:r w:rsidRPr="00F64D24">
        <w:rPr>
          <w:rFonts w:ascii="Times New Roman" w:hAnsi="Times New Roman" w:cs="Times New Roman"/>
          <w:sz w:val="28"/>
          <w:szCs w:val="28"/>
        </w:rPr>
        <w:t>Синьцзянского</w:t>
      </w:r>
      <w:proofErr w:type="spellEnd"/>
      <w:r w:rsidRPr="00F64D24">
        <w:rPr>
          <w:rFonts w:ascii="Times New Roman" w:hAnsi="Times New Roman" w:cs="Times New Roman"/>
          <w:sz w:val="28"/>
          <w:szCs w:val="28"/>
        </w:rPr>
        <w:t xml:space="preserve"> университета (КНР).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 xml:space="preserve">Выступили с лекциями перед нашими студентами иностранных  лекторов из России - 6, из  Японии – 2, из ФРГ – 2, из Китая – 2, из Кореи -1, из Латвии – 1. 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ab/>
        <w:t xml:space="preserve">РТСУ посетило 33 делегаций из зарубежных университетов и международных организаций, видные ученые и т.д. 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ab/>
        <w:t>В 2015 году  39 сотрудников РТСУ выезжали в загранкомандировки в разные страны мира, участвовали на конференциях, семинарах, тренингах, повышали квалификацию. Загранкомандировки оплачивались из бюджета РТСУ, за счет Программы развития, а также некоторые командировки покрывались приглашающей стороной.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D24">
        <w:rPr>
          <w:rFonts w:ascii="Times New Roman" w:hAnsi="Times New Roman" w:cs="Times New Roman"/>
          <w:i/>
          <w:sz w:val="28"/>
          <w:szCs w:val="28"/>
        </w:rPr>
        <w:t xml:space="preserve">Мероприятия, </w:t>
      </w:r>
      <w:r w:rsidRPr="00F64D24">
        <w:rPr>
          <w:rFonts w:ascii="Times New Roman" w:hAnsi="Times New Roman" w:cs="Times New Roman"/>
          <w:sz w:val="28"/>
          <w:szCs w:val="28"/>
        </w:rPr>
        <w:t>проведенные за отчетный период:</w:t>
      </w:r>
    </w:p>
    <w:p w:rsidR="002D0B3D" w:rsidRPr="00F64D24" w:rsidRDefault="002D0B3D" w:rsidP="002D0B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 xml:space="preserve">Открытие Нового учебного корпуса  </w:t>
      </w:r>
    </w:p>
    <w:p w:rsidR="002D0B3D" w:rsidRPr="00F64D24" w:rsidRDefault="002D0B3D" w:rsidP="002D0B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sz w:val="28"/>
          <w:szCs w:val="28"/>
        </w:rPr>
        <w:t>Открытие первого информационно-ресурсного центра ООН в Республике Таджикистан</w:t>
      </w:r>
    </w:p>
    <w:p w:rsidR="002D0B3D" w:rsidRPr="00F64D24" w:rsidRDefault="002D0B3D" w:rsidP="002D0B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bCs/>
          <w:sz w:val="28"/>
          <w:szCs w:val="28"/>
        </w:rPr>
        <w:t>6-го совещания министров образования государств-членов ШОС</w:t>
      </w:r>
    </w:p>
    <w:p w:rsidR="002D0B3D" w:rsidRPr="00F64D24" w:rsidRDefault="002D0B3D" w:rsidP="002D0B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Международные конференции, </w:t>
      </w:r>
      <w:r w:rsidRPr="00F64D24">
        <w:rPr>
          <w:rFonts w:ascii="Times New Roman" w:hAnsi="Times New Roman" w:cs="Times New Roman"/>
          <w:bCs/>
          <w:sz w:val="28"/>
          <w:szCs w:val="28"/>
        </w:rPr>
        <w:t>круглые столы</w:t>
      </w:r>
      <w:r w:rsidRPr="00F64D24">
        <w:rPr>
          <w:rFonts w:ascii="Times New Roman" w:hAnsi="Times New Roman" w:cs="Times New Roman"/>
          <w:bCs/>
          <w:iCs/>
          <w:sz w:val="28"/>
          <w:szCs w:val="28"/>
        </w:rPr>
        <w:t xml:space="preserve"> и семинары – 4</w:t>
      </w:r>
    </w:p>
    <w:p w:rsidR="002D0B3D" w:rsidRPr="00F64D24" w:rsidRDefault="002D0B3D" w:rsidP="002D0B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24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Региональный Форум «Русский язык в </w:t>
      </w:r>
      <w:proofErr w:type="spellStart"/>
      <w:r w:rsidRPr="00F64D24">
        <w:rPr>
          <w:rFonts w:ascii="Times New Roman" w:hAnsi="Times New Roman" w:cs="Times New Roman"/>
          <w:bCs/>
          <w:iCs/>
          <w:sz w:val="28"/>
          <w:szCs w:val="28"/>
        </w:rPr>
        <w:t>Хатлонской</w:t>
      </w:r>
      <w:proofErr w:type="spellEnd"/>
      <w:r w:rsidRPr="00F64D24">
        <w:rPr>
          <w:rFonts w:ascii="Times New Roman" w:hAnsi="Times New Roman" w:cs="Times New Roman"/>
          <w:bCs/>
          <w:iCs/>
          <w:sz w:val="28"/>
          <w:szCs w:val="28"/>
        </w:rPr>
        <w:t xml:space="preserve"> области»</w:t>
      </w: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Pr="00F64D24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b/>
          <w:sz w:val="28"/>
          <w:szCs w:val="28"/>
        </w:rPr>
        <w:t>Воспитательная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Вся воспитательная работа профессорско-преподавательского состава была направлена на реализацию молодежной политики и творческого потенциала молодежи, выявлению новых дарований, способных внести свой инновационный вклад, опираясь на лучшие традиции старших </w:t>
      </w:r>
      <w:proofErr w:type="gramStart"/>
      <w:r w:rsidRPr="003C559E">
        <w:rPr>
          <w:rFonts w:ascii="Times New Roman" w:hAnsi="Times New Roman" w:cs="Times New Roman"/>
          <w:sz w:val="28"/>
          <w:szCs w:val="28"/>
        </w:rPr>
        <w:t>поколений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и организована по направлениям. 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lastRenderedPageBreak/>
        <w:t xml:space="preserve">В целях ознакомления и реализации положений Послания Основоположника мира и национального единства – Лидера нации,  Президента РТ уважаемого Эмомали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Рахмона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Маджлиси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Оли РТ, а также по вопросу о внесении изменений и дополнений в Конституцию РТ организованы и проведены разъяснительные мероприятия, конференции, круглые столы, открытые лекции, встречи и т.п. 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К 25 -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Государственной независимости Республики Таджикистан, 20 –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РТСУ приурочены и проведены мероприятия по плану, утвержденному Ректором РТСУ. К их числу относятся конференции, конкурсы, выставка достижений вуза, культурно-музыкальные мероприятия РТСУ и т.п.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Совместно с руководителем Научно-исследовательского центра по противодействию экстремизму и терроризму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Абдухамитовым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gramStart"/>
      <w:r w:rsidRPr="003C559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утвержденного плана проведены мероприятия по профилактике экстремизма и терроризма среди студентов всех пяти факультетов.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Созданная и функционирующая система студенческого самоуправления действует на уровне вуза и академических групп. Студенты входят в ту или иную структуру студенческого самоуправления.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Во всех факультетах регулярно проводятся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старостаты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, на которых решаются текущие вопросы успеваемости и дисциплины, строятся перспективные задачи перед студентами в их общественной жизни, ставятся на повестку дня вопросы, связанные с проведением досуга студентов. Необходимо </w:t>
      </w:r>
      <w:proofErr w:type="gramStart"/>
      <w:r w:rsidRPr="003C559E">
        <w:rPr>
          <w:rFonts w:ascii="Times New Roman" w:hAnsi="Times New Roman" w:cs="Times New Roman"/>
          <w:sz w:val="28"/>
          <w:szCs w:val="28"/>
        </w:rPr>
        <w:t>отметить о мероприятии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«25 добрых дел к 25 –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Государственной Независимости РТ», которое включает в себя организацию благотворительных акций, таких, как «Уроки доброты», «Мы с вами», «От сердца к сердцу» и др., где оказывалась моральная и материальная помощь Детскому дому, Дому малютки, Домам для престарелых и инвалидов. Эти мероприятия играют огромную роль в формировании нравственных качеств у студенческой молодежи и развития студенческого самоуправления.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59E">
        <w:rPr>
          <w:rFonts w:ascii="Times New Roman" w:hAnsi="Times New Roman" w:cs="Times New Roman"/>
          <w:sz w:val="28"/>
          <w:szCs w:val="28"/>
        </w:rPr>
        <w:lastRenderedPageBreak/>
        <w:t>Со второго семестра начала функционировать Школа лидерства (рук.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Клименко В.Н.), Школа успешных девушек (рук.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Л.В.), Школа этикета (рук.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Гулова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З.А.), Клуб патриотического воспитания «Мой край родной» (рук. 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Шодиева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З.Н.), Клуб встреч </w:t>
      </w:r>
      <w:proofErr w:type="gramStart"/>
      <w:r w:rsidRPr="003C5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знаменитыми людьми нашего города «Поле откровения» (рук. Кухаренко В.А.), Студенческий информационный центр (</w:t>
      </w:r>
      <w:proofErr w:type="spellStart"/>
      <w:r w:rsidRPr="003C559E">
        <w:rPr>
          <w:rFonts w:ascii="Times New Roman" w:hAnsi="Times New Roman" w:cs="Times New Roman"/>
          <w:sz w:val="28"/>
          <w:szCs w:val="28"/>
        </w:rPr>
        <w:t>Вахидовой</w:t>
      </w:r>
      <w:proofErr w:type="spellEnd"/>
      <w:r w:rsidRPr="003C559E">
        <w:rPr>
          <w:rFonts w:ascii="Times New Roman" w:hAnsi="Times New Roman" w:cs="Times New Roman"/>
          <w:sz w:val="28"/>
          <w:szCs w:val="28"/>
        </w:rPr>
        <w:t xml:space="preserve"> Р.А., Бабаевой Ф.Б.) и т.п. 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Деятельность в органах студенческого самоуправления на групповом, факультетском и вузовском уровнях может стать школой гражданской ответственности для студентов, научит их самостоятельности, деловому общению с людьми, готовности принимать решения и отвечать за свои поступки.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59E">
        <w:rPr>
          <w:rFonts w:ascii="Times New Roman" w:hAnsi="Times New Roman" w:cs="Times New Roman"/>
          <w:sz w:val="28"/>
          <w:szCs w:val="28"/>
        </w:rPr>
        <w:t>Особо активизировал свою работу Совет женщин и девушек (рук.</w:t>
      </w:r>
      <w:proofErr w:type="gramEnd"/>
      <w:r w:rsidRPr="003C559E">
        <w:rPr>
          <w:rFonts w:ascii="Times New Roman" w:hAnsi="Times New Roman" w:cs="Times New Roman"/>
          <w:sz w:val="28"/>
          <w:szCs w:val="28"/>
        </w:rPr>
        <w:t xml:space="preserve"> Валиева З.А.), который направил свою деятельность на всестороннее формирование личности девушек университета, а также вовлечение их в общественные мероприятия, обеспечения их досуга, решения вопросов в области их прав и интересов.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В апреле-мае текущего года проходили конкурсы «Лучший студент года», «Лучший студенческий инновационный проект» Лучшая демонстрация активной гражданской позиции, которые были направлены на выявление и поощрение наиболее талантливых, инициативных и творческих студентов, а также  использования потенциала студенческой молодежи в решении приоритетных задач университета.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Эти конкурсы также способствуют формированию активной жизненной позиции, интеллектуальному, духовному и творческому развитию.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 xml:space="preserve">Основными звеньями организации и управления воспитательной деятельности являются заместители деканов по воспитательной работе и кураторы студенческих групп. Именно куратор, на первых порах координирует действия педагогов группы, оказывает им помощь в изучении коллектива учащихся, недопущении промахов по отношению к каждому </w:t>
      </w:r>
      <w:r w:rsidRPr="003C559E">
        <w:rPr>
          <w:rFonts w:ascii="Times New Roman" w:hAnsi="Times New Roman" w:cs="Times New Roman"/>
          <w:sz w:val="28"/>
          <w:szCs w:val="28"/>
        </w:rPr>
        <w:lastRenderedPageBreak/>
        <w:t>студенту. Работа куратора требует большой отдачи, приложения интеллектуальных, эмоциональных усилий, постоянного роста, самосовершенствования.</w:t>
      </w:r>
    </w:p>
    <w:p w:rsidR="002D0B3D" w:rsidRPr="003C559E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>Для оказания методической помощи кураторам, их стимулирования в университете функционирует Школа кураторов. На заседаниях Школы обсуждаются актуальные вопросы по организации и проведению воспитательного процесса, подводятся итоги по результатам работы кураторов групп, обобщается опыт кураторов, достигших результатов в своей  деятельности. Школа анализирует планы работы кураторов и их качественное выполнение за учебный год.</w:t>
      </w:r>
    </w:p>
    <w:p w:rsidR="002D0B3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4D">
        <w:rPr>
          <w:rFonts w:ascii="Times New Roman" w:hAnsi="Times New Roman" w:cs="Times New Roman"/>
          <w:b/>
          <w:sz w:val="28"/>
          <w:szCs w:val="28"/>
        </w:rPr>
        <w:t>Программа развития РТСУ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 xml:space="preserve">В 2016 году Программа развития в основном была направлена на оборудование нового учебного корпуса, хотя другие аспекты Программы также финансировались. За счет программы развития были поддержаны 6 проектов преподавателей, проведена аккредитация 9 программ, отправлены на стажировку за пределы республики за счет программы более 20 преподавателей, поддерживается студенческая мобильность, поддерживаются публикации ППС в журналах РИНЦ, </w:t>
      </w:r>
      <w:r w:rsidRPr="002C7D4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C7D4D">
        <w:rPr>
          <w:rFonts w:ascii="Times New Roman" w:hAnsi="Times New Roman" w:cs="Times New Roman"/>
          <w:sz w:val="28"/>
          <w:szCs w:val="28"/>
        </w:rPr>
        <w:t xml:space="preserve"> </w:t>
      </w:r>
      <w:r w:rsidRPr="002C7D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C7D4D">
        <w:rPr>
          <w:rFonts w:ascii="Times New Roman" w:hAnsi="Times New Roman" w:cs="Times New Roman"/>
          <w:sz w:val="28"/>
          <w:szCs w:val="28"/>
        </w:rPr>
        <w:t xml:space="preserve"> </w:t>
      </w:r>
      <w:r w:rsidRPr="002C7D4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2C7D4D">
        <w:rPr>
          <w:rFonts w:ascii="Times New Roman" w:hAnsi="Times New Roman" w:cs="Times New Roman"/>
          <w:sz w:val="28"/>
          <w:szCs w:val="28"/>
        </w:rPr>
        <w:t xml:space="preserve"> и </w:t>
      </w:r>
      <w:r w:rsidRPr="002C7D4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2C7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 xml:space="preserve">В новом учебном корпусе в 2016 году оборудован актовый и спортивный залы, оборудованы мультимедийными средствами 20 аудиторий, 2 центра тестирования по 30 человек каждая, современными техническими средствами оборудованы 2 поточные аудитории на 120 студентов каждая. Средствами видеоконференцсвязи, аудио и </w:t>
      </w:r>
      <w:proofErr w:type="spellStart"/>
      <w:r w:rsidRPr="002C7D4D">
        <w:rPr>
          <w:rFonts w:ascii="Times New Roman" w:hAnsi="Times New Roman" w:cs="Times New Roman"/>
          <w:sz w:val="28"/>
          <w:szCs w:val="28"/>
        </w:rPr>
        <w:t>мультипрограмммами</w:t>
      </w:r>
      <w:proofErr w:type="spellEnd"/>
      <w:r w:rsidRPr="002C7D4D">
        <w:rPr>
          <w:rFonts w:ascii="Times New Roman" w:hAnsi="Times New Roman" w:cs="Times New Roman"/>
          <w:sz w:val="28"/>
          <w:szCs w:val="28"/>
        </w:rPr>
        <w:t xml:space="preserve"> оборудован новый зал ученого совета. Приобретено 4 лаборатории для направления химии, биологии и физики. Оборудован зал электронной библиотеки на 60 мест. Приобретена учебная телестудия для отделения журналистики. Приобретена криминалистическая лаборатория для </w:t>
      </w:r>
      <w:r w:rsidRPr="002C7D4D">
        <w:rPr>
          <w:rFonts w:ascii="Times New Roman" w:hAnsi="Times New Roman" w:cs="Times New Roman"/>
          <w:sz w:val="28"/>
          <w:szCs w:val="28"/>
        </w:rPr>
        <w:lastRenderedPageBreak/>
        <w:t>юридического факультета. Приобретена дополнительно компьютерная техника.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 xml:space="preserve">Оборудованы новой мебелью 10 кафедр филологического факультета, Центр таджикского языка, Центр русского языка и культуры, Центр корейского языка и Центр польского языка, </w:t>
      </w:r>
      <w:proofErr w:type="gramStart"/>
      <w:r w:rsidRPr="002C7D4D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2C7D4D">
        <w:rPr>
          <w:rFonts w:ascii="Times New Roman" w:hAnsi="Times New Roman" w:cs="Times New Roman"/>
          <w:sz w:val="28"/>
          <w:szCs w:val="28"/>
        </w:rPr>
        <w:t xml:space="preserve"> радиолаборатория.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 xml:space="preserve">Оформлены новыми современными стендами коридоры и аудитории нового учебного корпуса. Всего только на оборудование нового учебного корпуса израсходовано более 40 миллионов российских рублей, что составляет более 5 миллионов </w:t>
      </w:r>
      <w:proofErr w:type="spellStart"/>
      <w:r w:rsidRPr="002C7D4D">
        <w:rPr>
          <w:rFonts w:ascii="Times New Roman" w:hAnsi="Times New Roman" w:cs="Times New Roman"/>
          <w:sz w:val="28"/>
          <w:szCs w:val="28"/>
        </w:rPr>
        <w:t>сомони</w:t>
      </w:r>
      <w:proofErr w:type="spellEnd"/>
      <w:r w:rsidRPr="002C7D4D">
        <w:rPr>
          <w:rFonts w:ascii="Times New Roman" w:hAnsi="Times New Roman" w:cs="Times New Roman"/>
          <w:sz w:val="28"/>
          <w:szCs w:val="28"/>
        </w:rPr>
        <w:t>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Разработана и одобрена Министерством образования и науки Российской Федерации Программа развития РТСУ на 2017-2019 годы с общим объемом финансирования 150 миллионов российских рублей.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По Программе развития в 2017 году намечены мероприятия по следующим направлениям.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4D">
        <w:rPr>
          <w:rFonts w:ascii="Times New Roman" w:hAnsi="Times New Roman" w:cs="Times New Roman"/>
          <w:bCs/>
          <w:sz w:val="28"/>
          <w:szCs w:val="28"/>
        </w:rPr>
        <w:t>Все задачи развития Университета подчинены приоритету развития сотрудничества России и Таджикистана и, соответственно, реализуются преимущественно в системе этих отношений.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b/>
          <w:bCs/>
          <w:sz w:val="28"/>
          <w:szCs w:val="28"/>
        </w:rPr>
        <w:t>Развитие образовательной деятельности</w:t>
      </w:r>
    </w:p>
    <w:p w:rsidR="002D0B3D" w:rsidRPr="002C7D4D" w:rsidRDefault="002D0B3D" w:rsidP="002D0B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развитие системы подготовки конкурентоспособных специалистов;</w:t>
      </w:r>
    </w:p>
    <w:p w:rsidR="002D0B3D" w:rsidRPr="002C7D4D" w:rsidRDefault="002D0B3D" w:rsidP="002D0B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развитие и совершенствование системы управления качеством образования;</w:t>
      </w:r>
    </w:p>
    <w:p w:rsidR="002D0B3D" w:rsidRPr="002C7D4D" w:rsidRDefault="002D0B3D" w:rsidP="002D0B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модернизация системы непрерывного образования.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НИОКР и </w:t>
      </w:r>
      <w:proofErr w:type="gramStart"/>
      <w:r w:rsidRPr="002C7D4D">
        <w:rPr>
          <w:rFonts w:ascii="Times New Roman" w:hAnsi="Times New Roman" w:cs="Times New Roman"/>
          <w:b/>
          <w:bCs/>
          <w:sz w:val="28"/>
          <w:szCs w:val="28"/>
        </w:rPr>
        <w:t>ТР</w:t>
      </w:r>
      <w:proofErr w:type="gramEnd"/>
    </w:p>
    <w:p w:rsidR="002D0B3D" w:rsidRPr="002C7D4D" w:rsidRDefault="002D0B3D" w:rsidP="002D0B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развитие фундаментальных и прикладных исследований и разработок;</w:t>
      </w:r>
    </w:p>
    <w:p w:rsidR="002D0B3D" w:rsidRPr="002C7D4D" w:rsidRDefault="002D0B3D" w:rsidP="002D0B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формирование эффективной системы трансфера и капитализации знаний и разработок;</w:t>
      </w:r>
    </w:p>
    <w:p w:rsidR="002D0B3D" w:rsidRPr="002C7D4D" w:rsidRDefault="002D0B3D" w:rsidP="002D0B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развитие и совершенствование системы управления качеством научных  и научно-прикладных исследований и разработок.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b/>
          <w:bCs/>
          <w:sz w:val="28"/>
          <w:szCs w:val="28"/>
        </w:rPr>
        <w:t>Подготовка кадров и поддержка программ мобильности</w:t>
      </w:r>
    </w:p>
    <w:p w:rsidR="002D0B3D" w:rsidRPr="002C7D4D" w:rsidRDefault="002D0B3D" w:rsidP="002D0B3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совершенствование кадровой политики Университета;</w:t>
      </w:r>
    </w:p>
    <w:p w:rsidR="002D0B3D" w:rsidRPr="002C7D4D" w:rsidRDefault="002D0B3D" w:rsidP="002D0B3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развитие кадрового потенциала;</w:t>
      </w:r>
    </w:p>
    <w:p w:rsidR="002D0B3D" w:rsidRPr="002C7D4D" w:rsidRDefault="002D0B3D" w:rsidP="002D0B3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развитие сотрудничества и сетевого взаимодействия.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b/>
          <w:bCs/>
          <w:sz w:val="28"/>
          <w:szCs w:val="28"/>
        </w:rPr>
        <w:t>Совершенствование системы управления Университетом</w:t>
      </w:r>
    </w:p>
    <w:p w:rsidR="002D0B3D" w:rsidRPr="002C7D4D" w:rsidRDefault="002D0B3D" w:rsidP="002D0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Университета;</w:t>
      </w:r>
    </w:p>
    <w:p w:rsidR="002D0B3D" w:rsidRPr="002C7D4D" w:rsidRDefault="002D0B3D" w:rsidP="002D0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совершенствование системы управления ресурсами;</w:t>
      </w:r>
    </w:p>
    <w:p w:rsidR="002D0B3D" w:rsidRPr="002C7D4D" w:rsidRDefault="002D0B3D" w:rsidP="002D0B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Университета.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значимых мероприятий и </w:t>
      </w:r>
      <w:r w:rsidRPr="002C7D4D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</w:p>
    <w:p w:rsidR="002D0B3D" w:rsidRPr="002C7D4D" w:rsidRDefault="002D0B3D" w:rsidP="002D0B3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 xml:space="preserve">развитие Университета как площадки </w:t>
      </w:r>
      <w:proofErr w:type="gramStart"/>
      <w:r w:rsidRPr="002C7D4D">
        <w:rPr>
          <w:rFonts w:ascii="Times New Roman" w:hAnsi="Times New Roman" w:cs="Times New Roman"/>
          <w:sz w:val="28"/>
          <w:szCs w:val="28"/>
        </w:rPr>
        <w:t>кросс-культурного</w:t>
      </w:r>
      <w:proofErr w:type="gramEnd"/>
      <w:r w:rsidRPr="002C7D4D">
        <w:rPr>
          <w:rFonts w:ascii="Times New Roman" w:hAnsi="Times New Roman" w:cs="Times New Roman"/>
          <w:sz w:val="28"/>
          <w:szCs w:val="28"/>
        </w:rPr>
        <w:t xml:space="preserve"> диалога в Центральной Азии;</w:t>
      </w:r>
    </w:p>
    <w:p w:rsidR="002D0B3D" w:rsidRPr="002C7D4D" w:rsidRDefault="002D0B3D" w:rsidP="002D0B3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укрепление позиций Университета в научно-образовательном пространстве Центральной Евразии;</w:t>
      </w:r>
    </w:p>
    <w:p w:rsidR="002D0B3D" w:rsidRPr="002C7D4D" w:rsidRDefault="002D0B3D" w:rsidP="002D0B3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4D">
        <w:rPr>
          <w:rFonts w:ascii="Times New Roman" w:hAnsi="Times New Roman" w:cs="Times New Roman"/>
          <w:sz w:val="28"/>
          <w:szCs w:val="28"/>
        </w:rPr>
        <w:t>создание благоприятной для молодежи среды.</w:t>
      </w: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3D" w:rsidRPr="002C7D4D" w:rsidRDefault="002D0B3D" w:rsidP="002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FD" w:rsidRDefault="00CC03FD"/>
    <w:sectPr w:rsidR="00CC03F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6E" w:rsidRDefault="00CA0A6E">
      <w:pPr>
        <w:spacing w:after="0" w:line="240" w:lineRule="auto"/>
      </w:pPr>
      <w:r>
        <w:separator/>
      </w:r>
    </w:p>
  </w:endnote>
  <w:endnote w:type="continuationSeparator" w:id="0">
    <w:p w:rsidR="00CA0A6E" w:rsidRDefault="00CA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529896"/>
      <w:docPartObj>
        <w:docPartGallery w:val="Page Numbers (Bottom of Page)"/>
        <w:docPartUnique/>
      </w:docPartObj>
    </w:sdtPr>
    <w:sdtEndPr/>
    <w:sdtContent>
      <w:p w:rsidR="001934CD" w:rsidRDefault="002D0B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EF">
          <w:rPr>
            <w:noProof/>
          </w:rPr>
          <w:t>1</w:t>
        </w:r>
        <w:r>
          <w:fldChar w:fldCharType="end"/>
        </w:r>
      </w:p>
    </w:sdtContent>
  </w:sdt>
  <w:p w:rsidR="001934CD" w:rsidRDefault="00CA0A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6E" w:rsidRDefault="00CA0A6E">
      <w:pPr>
        <w:spacing w:after="0" w:line="240" w:lineRule="auto"/>
      </w:pPr>
      <w:r>
        <w:separator/>
      </w:r>
    </w:p>
  </w:footnote>
  <w:footnote w:type="continuationSeparator" w:id="0">
    <w:p w:rsidR="00CA0A6E" w:rsidRDefault="00CA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32B"/>
    <w:multiLevelType w:val="hybridMultilevel"/>
    <w:tmpl w:val="CCF2DB7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8780DD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CD6A8A"/>
    <w:multiLevelType w:val="hybridMultilevel"/>
    <w:tmpl w:val="0C06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93C3A"/>
    <w:multiLevelType w:val="hybridMultilevel"/>
    <w:tmpl w:val="921E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2462"/>
    <w:multiLevelType w:val="hybridMultilevel"/>
    <w:tmpl w:val="DCEE5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FE00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67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4FE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C2F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8DD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483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EC7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6D7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D6395"/>
    <w:multiLevelType w:val="hybridMultilevel"/>
    <w:tmpl w:val="4468B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E08F0"/>
    <w:multiLevelType w:val="hybridMultilevel"/>
    <w:tmpl w:val="2C3EA4EA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8780DD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BD54DA"/>
    <w:multiLevelType w:val="hybridMultilevel"/>
    <w:tmpl w:val="D8D01E9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8780DD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790F57"/>
    <w:multiLevelType w:val="hybridMultilevel"/>
    <w:tmpl w:val="813C6DDA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8780DD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D4"/>
    <w:rsid w:val="002A00EF"/>
    <w:rsid w:val="002D0B3D"/>
    <w:rsid w:val="006E610E"/>
    <w:rsid w:val="00727616"/>
    <w:rsid w:val="009046D4"/>
    <w:rsid w:val="00CA0A6E"/>
    <w:rsid w:val="00CC03FD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0B3D"/>
  </w:style>
  <w:style w:type="character" w:styleId="a5">
    <w:name w:val="Hyperlink"/>
    <w:basedOn w:val="a0"/>
    <w:uiPriority w:val="99"/>
    <w:unhideWhenUsed/>
    <w:rsid w:val="002D0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0B3D"/>
  </w:style>
  <w:style w:type="character" w:styleId="a5">
    <w:name w:val="Hyperlink"/>
    <w:basedOn w:val="a0"/>
    <w:uiPriority w:val="99"/>
    <w:unhideWhenUsed/>
    <w:rsid w:val="002D0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g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zgu.ru/doc/vo-info/MR_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Admin</cp:lastModifiedBy>
  <cp:revision>3</cp:revision>
  <dcterms:created xsi:type="dcterms:W3CDTF">2017-01-05T05:05:00Z</dcterms:created>
  <dcterms:modified xsi:type="dcterms:W3CDTF">2017-01-11T09:51:00Z</dcterms:modified>
</cp:coreProperties>
</file>